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5EB5" w14:textId="77777777" w:rsidR="000735E2" w:rsidRPr="009870AD" w:rsidRDefault="000735E2" w:rsidP="000735E2">
      <w:pPr>
        <w:jc w:val="center"/>
        <w:rPr>
          <w:b/>
          <w:bCs/>
        </w:rPr>
      </w:pPr>
      <w:r w:rsidRPr="009870AD">
        <w:rPr>
          <w:b/>
          <w:bCs/>
        </w:rPr>
        <w:t>Налоговики вправе запросить сколько угодно документов вне проверки</w:t>
      </w:r>
    </w:p>
    <w:p w14:paraId="1A7308D1" w14:textId="77777777" w:rsidR="000735E2" w:rsidRPr="009870AD" w:rsidRDefault="000735E2" w:rsidP="000735E2">
      <w:pPr>
        <w:rPr>
          <w:i/>
          <w:iCs/>
        </w:rPr>
      </w:pPr>
      <w:r w:rsidRPr="009870AD">
        <w:rPr>
          <w:b/>
          <w:bCs/>
          <w:i/>
          <w:iCs/>
        </w:rPr>
        <w:t>Из-за чего спорили:</w:t>
      </w:r>
      <w:r w:rsidRPr="009870AD">
        <w:rPr>
          <w:i/>
          <w:iCs/>
        </w:rPr>
        <w:t> инспекторы запросили у компании вне проверки всю первичную документацию по контрагенту с 2019 по 2023 год. Организация посчитала требование чрезмерным, поэтому отказалась представлять такой объем бумаг и сведений.</w:t>
      </w:r>
    </w:p>
    <w:p w14:paraId="4A260335" w14:textId="77777777" w:rsidR="000735E2" w:rsidRPr="009870AD" w:rsidRDefault="000735E2" w:rsidP="000735E2">
      <w:pPr>
        <w:rPr>
          <w:i/>
          <w:iCs/>
        </w:rPr>
      </w:pPr>
      <w:r w:rsidRPr="009870AD">
        <w:rPr>
          <w:b/>
          <w:bCs/>
          <w:i/>
          <w:iCs/>
        </w:rPr>
        <w:t>Кто выиграл:</w:t>
      </w:r>
      <w:r w:rsidRPr="009870AD">
        <w:rPr>
          <w:i/>
          <w:iCs/>
        </w:rPr>
        <w:t> инспекция.</w:t>
      </w:r>
    </w:p>
    <w:p w14:paraId="2F55D475" w14:textId="77777777" w:rsidR="000735E2" w:rsidRPr="009870AD" w:rsidRDefault="000735E2" w:rsidP="000735E2">
      <w:pPr>
        <w:rPr>
          <w:i/>
          <w:iCs/>
        </w:rPr>
      </w:pPr>
      <w:r w:rsidRPr="009870AD">
        <w:rPr>
          <w:b/>
          <w:bCs/>
          <w:i/>
          <w:iCs/>
        </w:rPr>
        <w:t>Победный аргумент:</w:t>
      </w:r>
      <w:r w:rsidRPr="009870AD">
        <w:rPr>
          <w:i/>
          <w:iCs/>
        </w:rPr>
        <w:t> суд признал запрос налоговиков законным: из него четко следует, о каком контрагенте и о каких сделках и периодах идет речь.</w:t>
      </w:r>
    </w:p>
    <w:p w14:paraId="0AC45BEE" w14:textId="77777777" w:rsidR="000735E2" w:rsidRPr="009870AD" w:rsidRDefault="000735E2" w:rsidP="000735E2">
      <w:r w:rsidRPr="009870AD">
        <w:t>Инспекция вне проверки потребовала у компании первичку по одному из контрагентов за пять лет — с 2019 по 2023 год. Компания посчитала запрос избыточным, сослалась на то, что он выходит за пределы полномочий налоговиков, и отказалась его выполнять. Инспекторов это не устроило, и они выписали два штрафа: за непредставление документов и за неполученную информацию. Организация попыталась оспорить штрафы и действия налоговиков в суде, но безуспешно.</w:t>
      </w:r>
    </w:p>
    <w:p w14:paraId="2A07819E" w14:textId="77777777" w:rsidR="000735E2" w:rsidRPr="009870AD" w:rsidRDefault="000735E2" w:rsidP="000735E2">
      <w:r w:rsidRPr="009870AD">
        <w:t>Судьи признали требование и штрафы законными. Инспекция конкретизировала запрос: в нем были указаны контрагент, виды сделок и периоды, по которым требовались документы и сведения. У компании была возможность исполнить требование, но она почему-то этого не сделала. Поэтому судьи признали правомерным двойное привлечение компании к ответственности (постановление Арбитражного суда Республики Коми от 28.10.2025 по делу № А29-5216-2025).</w:t>
      </w:r>
    </w:p>
    <w:p w14:paraId="7D046129" w14:textId="77777777" w:rsidR="000735E2" w:rsidRPr="009870AD" w:rsidRDefault="000735E2" w:rsidP="000735E2">
      <w:pPr>
        <w:rPr>
          <w:b/>
          <w:bCs/>
        </w:rPr>
      </w:pPr>
      <w:r w:rsidRPr="009870AD">
        <w:rPr>
          <w:b/>
          <w:bCs/>
        </w:rPr>
        <w:t>Инспекция не истребовала документы и сведения</w:t>
      </w:r>
      <w:r w:rsidRPr="009870AD">
        <w:rPr>
          <w:b/>
          <w:bCs/>
        </w:rPr>
        <w:br/>
        <w:t>за пределами трехлетнего срока исковой давности.</w:t>
      </w:r>
      <w:r w:rsidRPr="009870AD">
        <w:rPr>
          <w:b/>
          <w:bCs/>
        </w:rPr>
        <w:br/>
        <w:t>За старые периоды запросила только договоры,</w:t>
      </w:r>
      <w:r w:rsidRPr="009870AD">
        <w:rPr>
          <w:b/>
          <w:bCs/>
        </w:rPr>
        <w:br/>
        <w:t>по которым, вероятно, компания и партнер работали</w:t>
      </w:r>
      <w:r w:rsidRPr="009870AD">
        <w:rPr>
          <w:b/>
          <w:bCs/>
        </w:rPr>
        <w:br/>
        <w:t>в проверяемые годы.</w:t>
      </w:r>
    </w:p>
    <w:p w14:paraId="2C106F23" w14:textId="77777777" w:rsidR="000735E2" w:rsidRPr="009870AD" w:rsidRDefault="000735E2" w:rsidP="000735E2">
      <w:r w:rsidRPr="009870AD">
        <w:t>МАКСИМ БАЛАКИН,</w:t>
      </w:r>
    </w:p>
    <w:p w14:paraId="0D845454" w14:textId="77777777" w:rsidR="000735E2" w:rsidRPr="009870AD" w:rsidRDefault="000735E2" w:rsidP="000735E2">
      <w:r w:rsidRPr="009870AD">
        <w:t>советник государственной гражданской службы РФ 2-го класса</w:t>
      </w:r>
    </w:p>
    <w:p w14:paraId="28A3E05A" w14:textId="77777777" w:rsidR="000735E2" w:rsidRPr="009870AD" w:rsidRDefault="000735E2" w:rsidP="000735E2"/>
    <w:p w14:paraId="31E29B43" w14:textId="77777777" w:rsidR="000735E2" w:rsidRPr="009870AD" w:rsidRDefault="000735E2" w:rsidP="000735E2">
      <w:pPr>
        <w:rPr>
          <w:b/>
          <w:bCs/>
        </w:rPr>
      </w:pPr>
      <w:r w:rsidRPr="009870AD">
        <w:rPr>
          <w:b/>
          <w:bCs/>
        </w:rPr>
        <w:t>Какие аргументы сработали в пользу налоговиков</w:t>
      </w:r>
    </w:p>
    <w:p w14:paraId="5D6B2684" w14:textId="77777777" w:rsidR="000735E2" w:rsidRPr="009870AD" w:rsidRDefault="000735E2" w:rsidP="000735E2">
      <w:r w:rsidRPr="009870AD">
        <w:t>Требование не подменяло налоговую проверку и оказалось вовсе не избыточным. По мнению арбитров, несданные документы и непредставленная информация — это действительно разные правонарушения, и за них есть отдельные штрафы (ст. </w:t>
      </w:r>
      <w:hyperlink r:id="rId4" w:anchor="ZA00M8U2NH" w:tgtFrame="_blank" w:history="1">
        <w:r w:rsidRPr="009870AD">
          <w:rPr>
            <w:rStyle w:val="ac"/>
          </w:rPr>
          <w:t>126</w:t>
        </w:r>
      </w:hyperlink>
      <w:r w:rsidRPr="009870AD">
        <w:t>, </w:t>
      </w:r>
      <w:hyperlink r:id="rId5" w:anchor="ZA022I23HG" w:tgtFrame="_blank" w:history="1">
        <w:r w:rsidRPr="009870AD">
          <w:rPr>
            <w:rStyle w:val="ac"/>
          </w:rPr>
          <w:t>129.1</w:t>
        </w:r>
      </w:hyperlink>
      <w:r w:rsidRPr="009870AD">
        <w:t> НК). То есть по факту налоговики не </w:t>
      </w:r>
      <w:proofErr w:type="spellStart"/>
      <w:r w:rsidRPr="009870AD">
        <w:t>задвоили</w:t>
      </w:r>
      <w:proofErr w:type="spellEnd"/>
      <w:r w:rsidRPr="009870AD">
        <w:t xml:space="preserve"> наказание, как предположила организация.</w:t>
      </w:r>
    </w:p>
    <w:p w14:paraId="72B1733C" w14:textId="77777777" w:rsidR="000735E2" w:rsidRPr="009870AD" w:rsidRDefault="000735E2" w:rsidP="000735E2">
      <w:pPr>
        <w:rPr>
          <w:b/>
          <w:bCs/>
        </w:rPr>
      </w:pPr>
      <w:r w:rsidRPr="009870AD">
        <w:rPr>
          <w:b/>
          <w:bCs/>
        </w:rPr>
        <w:t>Совет редакции: постарайтесь исполнить запрос, даже если объем сведений кажется большим</w:t>
      </w:r>
    </w:p>
    <w:p w14:paraId="1C9ECA79" w14:textId="77777777" w:rsidR="000735E2" w:rsidRPr="009870AD" w:rsidRDefault="000735E2" w:rsidP="000735E2">
      <w:r w:rsidRPr="009870AD">
        <w:t>ФНС в </w:t>
      </w:r>
      <w:hyperlink r:id="rId6" w:tgtFrame="_blank" w:history="1">
        <w:r w:rsidRPr="009870AD">
          <w:rPr>
            <w:rStyle w:val="ac"/>
          </w:rPr>
          <w:t>письме от 27.06.2017 № ЕД-4-2/12216</w:t>
        </w:r>
      </w:hyperlink>
      <w:r w:rsidRPr="009870AD">
        <w:t> рекомендовала инспекторам не направлять избыточные запросы, но судьи поддержат налоговиков, если требование корректное и конкретное. Поэтому не спешите отказывать, ссылаясь на объем запрошенных документов и информации. Если можно идентифицировать контрагента, сделки и периоды, безопаснее исполнить запрос.</w:t>
      </w:r>
    </w:p>
    <w:p w14:paraId="12CA393C" w14:textId="77777777" w:rsidR="000735E2" w:rsidRPr="009870AD" w:rsidRDefault="000735E2" w:rsidP="000735E2">
      <w:r w:rsidRPr="009870AD">
        <w:lastRenderedPageBreak/>
        <w:t>Из-за отказа или молчания в ответ на требование вероятны штрафы. НК позволяет одновременно привлечь компанию и за непредставление документов, и за неподачу информации, если требование охватывает оба аспекта. Если же есть объективные причины, которые мешают представить запрошенное, например компания утратила бумаги при пожаре, приложите подтверждающие справки от профильного ведомства. В частности, подойдет документ от МЧС.</w:t>
      </w:r>
    </w:p>
    <w:p w14:paraId="73026BE4" w14:textId="77777777" w:rsidR="000735E2" w:rsidRPr="009870AD" w:rsidRDefault="000735E2" w:rsidP="000735E2">
      <w:pPr>
        <w:rPr>
          <w:b/>
          <w:bCs/>
        </w:rPr>
      </w:pPr>
      <w:r w:rsidRPr="009870AD">
        <w:rPr>
          <w:b/>
          <w:bCs/>
        </w:rPr>
        <w:t>Если пришло требование от налоговиков, которое</w:t>
      </w:r>
      <w:r w:rsidRPr="009870AD">
        <w:rPr>
          <w:b/>
          <w:bCs/>
        </w:rPr>
        <w:br/>
        <w:t>не можете исполнить, не отвечайте сразу отказом.</w:t>
      </w:r>
      <w:r w:rsidRPr="009870AD">
        <w:rPr>
          <w:b/>
          <w:bCs/>
        </w:rPr>
        <w:br/>
        <w:t>Лучше поясните, почему не получается представить</w:t>
      </w:r>
      <w:r w:rsidRPr="009870AD">
        <w:rPr>
          <w:b/>
          <w:bCs/>
        </w:rPr>
        <w:br/>
        <w:t>документы или сведения, и при необходимости</w:t>
      </w:r>
      <w:r w:rsidRPr="009870AD">
        <w:rPr>
          <w:b/>
          <w:bCs/>
        </w:rPr>
        <w:br/>
        <w:t>попросите продлить срок для ответа.</w:t>
      </w:r>
    </w:p>
    <w:p w14:paraId="3EF1F367" w14:textId="77777777" w:rsidR="000735E2" w:rsidRPr="009870AD" w:rsidRDefault="000735E2" w:rsidP="000735E2">
      <w:r w:rsidRPr="009870AD">
        <w:t>КРИСТИНА ДАНЧИНА,</w:t>
      </w:r>
    </w:p>
    <w:p w14:paraId="63138DB5" w14:textId="77777777" w:rsidR="000735E2" w:rsidRPr="009870AD" w:rsidRDefault="000735E2" w:rsidP="000735E2">
      <w:r w:rsidRPr="009870AD">
        <w:t>ведущий юрист TAXOLOGY</w:t>
      </w:r>
    </w:p>
    <w:p w14:paraId="00304A0D" w14:textId="77777777" w:rsidR="000735E2" w:rsidRPr="009870AD" w:rsidRDefault="000735E2" w:rsidP="000735E2"/>
    <w:p w14:paraId="57957A69" w14:textId="77777777" w:rsidR="000735E2" w:rsidRPr="009870AD" w:rsidRDefault="000735E2" w:rsidP="000735E2">
      <w:pPr>
        <w:rPr>
          <w:b/>
          <w:bCs/>
        </w:rPr>
      </w:pPr>
      <w:r w:rsidRPr="009870AD">
        <w:rPr>
          <w:b/>
          <w:bCs/>
        </w:rPr>
        <w:t>О чем еще налоговики спорили с компаниями</w:t>
      </w:r>
    </w:p>
    <w:tbl>
      <w:tblPr>
        <w:tblW w:w="0" w:type="auto"/>
        <w:tblCellMar>
          <w:left w:w="0" w:type="dxa"/>
          <w:right w:w="0" w:type="dxa"/>
        </w:tblCellMar>
        <w:tblLook w:val="04A0" w:firstRow="1" w:lastRow="0" w:firstColumn="1" w:lastColumn="0" w:noHBand="0" w:noVBand="1"/>
      </w:tblPr>
      <w:tblGrid>
        <w:gridCol w:w="4804"/>
        <w:gridCol w:w="5261"/>
      </w:tblGrid>
      <w:tr w:rsidR="000735E2" w:rsidRPr="00F00DFE" w14:paraId="27D7FE75" w14:textId="77777777" w:rsidTr="00102727">
        <w:trPr>
          <w:tblHeader/>
        </w:trPr>
        <w:tc>
          <w:tcPr>
            <w:tcW w:w="0" w:type="auto"/>
            <w:tcMar>
              <w:top w:w="105" w:type="dxa"/>
              <w:left w:w="0" w:type="dxa"/>
              <w:bottom w:w="105" w:type="dxa"/>
              <w:right w:w="525" w:type="dxa"/>
            </w:tcMar>
            <w:vAlign w:val="bottom"/>
            <w:hideMark/>
          </w:tcPr>
          <w:p w14:paraId="1C85F600" w14:textId="77777777" w:rsidR="000735E2" w:rsidRPr="00F00DFE" w:rsidRDefault="000735E2" w:rsidP="00102727">
            <w:pPr>
              <w:rPr>
                <w:b/>
                <w:bCs/>
              </w:rPr>
            </w:pPr>
            <w:r w:rsidRPr="00F00DFE">
              <w:rPr>
                <w:b/>
                <w:bCs/>
              </w:rPr>
              <w:t>Ситуация</w:t>
            </w:r>
          </w:p>
        </w:tc>
        <w:tc>
          <w:tcPr>
            <w:tcW w:w="0" w:type="auto"/>
            <w:tcMar>
              <w:top w:w="105" w:type="dxa"/>
              <w:left w:w="0" w:type="dxa"/>
              <w:bottom w:w="105" w:type="dxa"/>
              <w:right w:w="525" w:type="dxa"/>
            </w:tcMar>
            <w:vAlign w:val="bottom"/>
            <w:hideMark/>
          </w:tcPr>
          <w:p w14:paraId="5A3B166B" w14:textId="77777777" w:rsidR="000735E2" w:rsidRPr="00F00DFE" w:rsidRDefault="000735E2" w:rsidP="00102727">
            <w:pPr>
              <w:rPr>
                <w:b/>
                <w:bCs/>
              </w:rPr>
            </w:pPr>
            <w:r w:rsidRPr="00F00DFE">
              <w:rPr>
                <w:b/>
                <w:bCs/>
              </w:rPr>
              <w:t>Аргументы судей</w:t>
            </w:r>
          </w:p>
        </w:tc>
      </w:tr>
      <w:tr w:rsidR="000735E2" w:rsidRPr="00F00DFE" w14:paraId="204D2FA8" w14:textId="77777777" w:rsidTr="00102727">
        <w:tc>
          <w:tcPr>
            <w:tcW w:w="0" w:type="auto"/>
            <w:gridSpan w:val="2"/>
            <w:tcMar>
              <w:top w:w="105" w:type="dxa"/>
              <w:left w:w="0" w:type="dxa"/>
              <w:bottom w:w="105" w:type="dxa"/>
              <w:right w:w="525" w:type="dxa"/>
            </w:tcMar>
            <w:hideMark/>
          </w:tcPr>
          <w:p w14:paraId="2449A473" w14:textId="77777777" w:rsidR="000735E2" w:rsidRPr="00F00DFE" w:rsidRDefault="000735E2" w:rsidP="00102727">
            <w:pPr>
              <w:rPr>
                <w:b/>
                <w:bCs/>
              </w:rPr>
            </w:pPr>
            <w:r w:rsidRPr="00F00DFE">
              <w:rPr>
                <w:b/>
                <w:bCs/>
              </w:rPr>
              <w:t>О сомнительной сделке</w:t>
            </w:r>
          </w:p>
          <w:p w14:paraId="3836905E" w14:textId="4673731A" w:rsidR="000735E2" w:rsidRPr="00F00DFE" w:rsidRDefault="000735E2" w:rsidP="00102727">
            <w:r w:rsidRPr="00F00DFE">
              <w:rPr>
                <w:b/>
                <w:noProof/>
              </w:rPr>
              <w:drawing>
                <wp:inline distT="0" distB="0" distL="0" distR="0" wp14:anchorId="47B26D03" wp14:editId="7A19AF9F">
                  <wp:extent cx="1527810" cy="1203960"/>
                  <wp:effectExtent l="0" t="0" r="0" b="0"/>
                  <wp:docPr id="891771120"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7810" cy="1203960"/>
                          </a:xfrm>
                          <a:prstGeom prst="rect">
                            <a:avLst/>
                          </a:prstGeom>
                          <a:noFill/>
                          <a:ln>
                            <a:noFill/>
                          </a:ln>
                        </pic:spPr>
                      </pic:pic>
                    </a:graphicData>
                  </a:graphic>
                </wp:inline>
              </w:drawing>
            </w:r>
            <w:r w:rsidRPr="00F00DFE">
              <w:rPr>
                <w:b/>
                <w:bCs/>
              </w:rPr>
              <w:t> Слишком щедрая рассрочка докажет фиктивность сделки</w:t>
            </w:r>
          </w:p>
        </w:tc>
      </w:tr>
      <w:tr w:rsidR="000735E2" w:rsidRPr="00F00DFE" w14:paraId="1C37D757" w14:textId="77777777" w:rsidTr="00102727">
        <w:tc>
          <w:tcPr>
            <w:tcW w:w="0" w:type="auto"/>
            <w:tcMar>
              <w:top w:w="105" w:type="dxa"/>
              <w:left w:w="0" w:type="dxa"/>
              <w:bottom w:w="105" w:type="dxa"/>
              <w:right w:w="525" w:type="dxa"/>
            </w:tcMar>
            <w:hideMark/>
          </w:tcPr>
          <w:p w14:paraId="4C29FAC6" w14:textId="77777777" w:rsidR="000735E2" w:rsidRPr="00F00DFE" w:rsidRDefault="000735E2" w:rsidP="00102727">
            <w:r w:rsidRPr="00F00DFE">
              <w:t>В договоре указали, что покупатель обязуется оплатить товар в течение 80 месяцев со дня приемки. Такой период рассрочки показался инспекторам сомнительным. Налоговики заподозрили, что договор на самом деле фиктивный, сняли связанные с ним расходы и отказали в вычетах НДС. Компания пошла в суд</w:t>
            </w:r>
          </w:p>
        </w:tc>
        <w:tc>
          <w:tcPr>
            <w:tcW w:w="0" w:type="auto"/>
            <w:tcMar>
              <w:top w:w="105" w:type="dxa"/>
              <w:left w:w="0" w:type="dxa"/>
              <w:bottom w:w="105" w:type="dxa"/>
              <w:right w:w="525" w:type="dxa"/>
            </w:tcMar>
            <w:hideMark/>
          </w:tcPr>
          <w:p w14:paraId="0186675C" w14:textId="77777777" w:rsidR="000735E2" w:rsidRPr="00F00DFE" w:rsidRDefault="000735E2" w:rsidP="00102727">
            <w:r w:rsidRPr="00F00DFE">
              <w:t>Суд поддержал инспекцию. Компания не смогла возразить в ответ на доводы налоговиков. Она оспаривала только сумму доначислений: якобы инспекторы неверно посчитали величину расходов, которые следовало снять. Арбитры согласились, что сделку с такой длительной рассрочкой платежа нельзя считать реальной (</w:t>
            </w:r>
            <w:hyperlink r:id="rId8" w:tgtFrame="_blank" w:history="1">
              <w:r w:rsidRPr="00F00DFE">
                <w:rPr>
                  <w:rStyle w:val="ac"/>
                </w:rPr>
                <w:t>постановление АС Поволжского округа от 22.04.2025 по делу № А12-23152/2023</w:t>
              </w:r>
            </w:hyperlink>
            <w:r w:rsidRPr="00F00DFE">
              <w:t>)</w:t>
            </w:r>
          </w:p>
        </w:tc>
      </w:tr>
      <w:tr w:rsidR="000735E2" w:rsidRPr="00F00DFE" w14:paraId="23DA726E" w14:textId="77777777" w:rsidTr="00102727">
        <w:tc>
          <w:tcPr>
            <w:tcW w:w="0" w:type="auto"/>
            <w:gridSpan w:val="2"/>
            <w:tcMar>
              <w:top w:w="105" w:type="dxa"/>
              <w:left w:w="0" w:type="dxa"/>
              <w:bottom w:w="105" w:type="dxa"/>
              <w:right w:w="525" w:type="dxa"/>
            </w:tcMar>
            <w:hideMark/>
          </w:tcPr>
          <w:p w14:paraId="254CF0D0" w14:textId="77777777" w:rsidR="000735E2" w:rsidRPr="00F00DFE" w:rsidRDefault="000735E2" w:rsidP="00102727">
            <w:pPr>
              <w:rPr>
                <w:b/>
                <w:bCs/>
              </w:rPr>
            </w:pPr>
            <w:r w:rsidRPr="00F00DFE">
              <w:rPr>
                <w:b/>
                <w:bCs/>
              </w:rPr>
              <w:t>О договоре ГПХ</w:t>
            </w:r>
          </w:p>
          <w:p w14:paraId="13BF1021" w14:textId="446949E4" w:rsidR="000735E2" w:rsidRPr="00F00DFE" w:rsidRDefault="000735E2" w:rsidP="00102727">
            <w:r w:rsidRPr="00F00DFE">
              <w:rPr>
                <w:b/>
                <w:noProof/>
              </w:rPr>
              <w:lastRenderedPageBreak/>
              <w:drawing>
                <wp:inline distT="0" distB="0" distL="0" distR="0" wp14:anchorId="230CE209" wp14:editId="7A0C4969">
                  <wp:extent cx="1527810" cy="1203960"/>
                  <wp:effectExtent l="0" t="0" r="0" b="0"/>
                  <wp:docPr id="207285975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7810" cy="1203960"/>
                          </a:xfrm>
                          <a:prstGeom prst="rect">
                            <a:avLst/>
                          </a:prstGeom>
                          <a:noFill/>
                          <a:ln>
                            <a:noFill/>
                          </a:ln>
                        </pic:spPr>
                      </pic:pic>
                    </a:graphicData>
                  </a:graphic>
                </wp:inline>
              </w:drawing>
            </w:r>
            <w:r w:rsidRPr="00F00DFE">
              <w:rPr>
                <w:b/>
                <w:bCs/>
              </w:rPr>
              <w:t> Инспекторы проверят внутренние отчеты компании на плагиат из интернета</w:t>
            </w:r>
          </w:p>
        </w:tc>
      </w:tr>
      <w:tr w:rsidR="000735E2" w:rsidRPr="00F00DFE" w14:paraId="54B8CEB6" w14:textId="77777777" w:rsidTr="00102727">
        <w:tc>
          <w:tcPr>
            <w:tcW w:w="0" w:type="auto"/>
            <w:tcMar>
              <w:top w:w="105" w:type="dxa"/>
              <w:left w:w="0" w:type="dxa"/>
              <w:bottom w:w="105" w:type="dxa"/>
              <w:right w:w="525" w:type="dxa"/>
            </w:tcMar>
            <w:hideMark/>
          </w:tcPr>
          <w:p w14:paraId="0E64BD25" w14:textId="77777777" w:rsidR="000735E2" w:rsidRPr="00F00DFE" w:rsidRDefault="000735E2" w:rsidP="00102727">
            <w:r w:rsidRPr="00F00DFE">
              <w:lastRenderedPageBreak/>
              <w:t>Компания наняла предпринимателя по договору ГПХ на роль управляющего. Инспекторы усомнились в реальности гражданско-правовых отношений и обвинили организацию в сокрытии трудовых отношений</w:t>
            </w:r>
          </w:p>
        </w:tc>
        <w:tc>
          <w:tcPr>
            <w:tcW w:w="0" w:type="auto"/>
            <w:tcMar>
              <w:top w:w="105" w:type="dxa"/>
              <w:left w:w="0" w:type="dxa"/>
              <w:bottom w:w="105" w:type="dxa"/>
              <w:right w:w="525" w:type="dxa"/>
            </w:tcMar>
            <w:hideMark/>
          </w:tcPr>
          <w:p w14:paraId="49B8E1BC" w14:textId="77777777" w:rsidR="000735E2" w:rsidRPr="00F00DFE" w:rsidRDefault="000735E2" w:rsidP="00102727">
            <w:r w:rsidRPr="00F00DFE">
              <w:t>Суд решил, что инспекторы правы. Организация утверждала, что наняла управляющего по ГПД в связи со сложной экономической ситуацией. Но судьи обнаружили, что отчеты компании скопированы из интернета. Один из них организация датировала 2019 годом, где описала влияние ковидных ограничений, но такие ограничения ввели только в 2020 году. Суды переквалифицировали договор ГПХ в трудовой (</w:t>
            </w:r>
            <w:hyperlink r:id="rId9" w:tgtFrame="_blank" w:history="1">
              <w:r w:rsidRPr="00F00DFE">
                <w:rPr>
                  <w:rStyle w:val="ac"/>
                </w:rPr>
                <w:t>постановление АС Северо-Кавказского округа от 23.04.2025 по делу № А53-5704/2024</w:t>
              </w:r>
            </w:hyperlink>
            <w:r w:rsidRPr="00F00DFE">
              <w:t>)</w:t>
            </w:r>
          </w:p>
        </w:tc>
      </w:tr>
      <w:tr w:rsidR="000735E2" w:rsidRPr="00F00DFE" w14:paraId="568095AA" w14:textId="77777777" w:rsidTr="00102727">
        <w:tc>
          <w:tcPr>
            <w:tcW w:w="0" w:type="auto"/>
            <w:gridSpan w:val="2"/>
            <w:tcMar>
              <w:top w:w="105" w:type="dxa"/>
              <w:left w:w="0" w:type="dxa"/>
              <w:bottom w:w="105" w:type="dxa"/>
              <w:right w:w="525" w:type="dxa"/>
            </w:tcMar>
            <w:hideMark/>
          </w:tcPr>
          <w:p w14:paraId="50DF035E" w14:textId="77777777" w:rsidR="000735E2" w:rsidRPr="00F00DFE" w:rsidRDefault="000735E2" w:rsidP="00102727">
            <w:pPr>
              <w:rPr>
                <w:b/>
                <w:bCs/>
              </w:rPr>
            </w:pPr>
            <w:r w:rsidRPr="00F00DFE">
              <w:rPr>
                <w:b/>
                <w:bCs/>
              </w:rPr>
              <w:t>О возможности хранения товаров</w:t>
            </w:r>
          </w:p>
          <w:p w14:paraId="16911287" w14:textId="43C753F1" w:rsidR="000735E2" w:rsidRPr="00F00DFE" w:rsidRDefault="000735E2" w:rsidP="00102727">
            <w:r w:rsidRPr="00F00DFE">
              <w:rPr>
                <w:b/>
                <w:noProof/>
              </w:rPr>
              <w:drawing>
                <wp:inline distT="0" distB="0" distL="0" distR="0" wp14:anchorId="404833DC" wp14:editId="4F63D3F6">
                  <wp:extent cx="1527810" cy="1203960"/>
                  <wp:effectExtent l="0" t="0" r="0" b="0"/>
                  <wp:docPr id="128643798"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7810" cy="1203960"/>
                          </a:xfrm>
                          <a:prstGeom prst="rect">
                            <a:avLst/>
                          </a:prstGeom>
                          <a:noFill/>
                          <a:ln>
                            <a:noFill/>
                          </a:ln>
                        </pic:spPr>
                      </pic:pic>
                    </a:graphicData>
                  </a:graphic>
                </wp:inline>
              </w:drawing>
            </w:r>
            <w:r w:rsidRPr="00F00DFE">
              <w:rPr>
                <w:b/>
                <w:bCs/>
              </w:rPr>
              <w:t> Нужно подтверждать не только обоснованность затрат, но и возможность хранения товаров</w:t>
            </w:r>
          </w:p>
        </w:tc>
      </w:tr>
      <w:tr w:rsidR="000735E2" w:rsidRPr="00F00DFE" w14:paraId="796C5D12" w14:textId="77777777" w:rsidTr="00102727">
        <w:tc>
          <w:tcPr>
            <w:tcW w:w="0" w:type="auto"/>
            <w:tcMar>
              <w:top w:w="105" w:type="dxa"/>
              <w:left w:w="0" w:type="dxa"/>
              <w:bottom w:w="105" w:type="dxa"/>
              <w:right w:w="525" w:type="dxa"/>
            </w:tcMar>
            <w:hideMark/>
          </w:tcPr>
          <w:p w14:paraId="1DFA85AF" w14:textId="77777777" w:rsidR="000735E2" w:rsidRPr="00F00DFE" w:rsidRDefault="000735E2" w:rsidP="00102727">
            <w:r w:rsidRPr="00F00DFE">
              <w:t>Налоговики заподозрили, что у компании есть фиктивные сделки. Особое внимание инспекторов привлек один договор. По нему организация получила топливо, но товар не оплатила. Хранить его было негде. Из-за этого инспекторы сняли расходы на топливо и отказали в вычетах НДС</w:t>
            </w:r>
          </w:p>
        </w:tc>
        <w:tc>
          <w:tcPr>
            <w:tcW w:w="0" w:type="auto"/>
            <w:tcMar>
              <w:top w:w="105" w:type="dxa"/>
              <w:left w:w="0" w:type="dxa"/>
              <w:bottom w:w="105" w:type="dxa"/>
              <w:right w:w="525" w:type="dxa"/>
            </w:tcMar>
            <w:hideMark/>
          </w:tcPr>
          <w:p w14:paraId="2EE745C5" w14:textId="77777777" w:rsidR="000735E2" w:rsidRPr="00F00DFE" w:rsidRDefault="000735E2" w:rsidP="00102727">
            <w:r w:rsidRPr="00F00DFE">
              <w:t>Судьи подтвердили фиктивность сделки и добавили, что у компании не было нужды закупать топливо. Ведь все доступные емкости для хранения были заполнены (</w:t>
            </w:r>
            <w:hyperlink r:id="rId10" w:tgtFrame="_blank" w:history="1">
              <w:r w:rsidRPr="00F00DFE">
                <w:rPr>
                  <w:rStyle w:val="ac"/>
                </w:rPr>
                <w:t>постановление АС Западно-Сибирского округа от 28.05.2025 по делу № А75-25473/2023</w:t>
              </w:r>
            </w:hyperlink>
            <w:r w:rsidRPr="00F00DFE">
              <w:t>)</w:t>
            </w:r>
          </w:p>
        </w:tc>
      </w:tr>
      <w:tr w:rsidR="000735E2" w:rsidRPr="00F00DFE" w14:paraId="1FEBD952" w14:textId="77777777" w:rsidTr="00102727">
        <w:tc>
          <w:tcPr>
            <w:tcW w:w="0" w:type="auto"/>
            <w:gridSpan w:val="2"/>
            <w:tcMar>
              <w:top w:w="105" w:type="dxa"/>
              <w:left w:w="0" w:type="dxa"/>
              <w:bottom w:w="105" w:type="dxa"/>
              <w:right w:w="525" w:type="dxa"/>
            </w:tcMar>
            <w:hideMark/>
          </w:tcPr>
          <w:p w14:paraId="4D3B78D2" w14:textId="77777777" w:rsidR="000735E2" w:rsidRPr="00F00DFE" w:rsidRDefault="000735E2" w:rsidP="00102727">
            <w:pPr>
              <w:rPr>
                <w:b/>
                <w:bCs/>
              </w:rPr>
            </w:pPr>
            <w:r w:rsidRPr="00F00DFE">
              <w:rPr>
                <w:b/>
                <w:bCs/>
              </w:rPr>
              <w:lastRenderedPageBreak/>
              <w:t>О материалах проверки</w:t>
            </w:r>
          </w:p>
          <w:p w14:paraId="7D96DEBC" w14:textId="16040470" w:rsidR="000735E2" w:rsidRPr="00F00DFE" w:rsidRDefault="000735E2" w:rsidP="00102727">
            <w:r w:rsidRPr="00F00DFE">
              <w:rPr>
                <w:b/>
                <w:noProof/>
              </w:rPr>
              <w:drawing>
                <wp:inline distT="0" distB="0" distL="0" distR="0" wp14:anchorId="2CFA486E" wp14:editId="07B71742">
                  <wp:extent cx="1527810" cy="1203960"/>
                  <wp:effectExtent l="0" t="0" r="0" b="0"/>
                  <wp:docPr id="23562353"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7810" cy="1203960"/>
                          </a:xfrm>
                          <a:prstGeom prst="rect">
                            <a:avLst/>
                          </a:prstGeom>
                          <a:noFill/>
                          <a:ln>
                            <a:noFill/>
                          </a:ln>
                        </pic:spPr>
                      </pic:pic>
                    </a:graphicData>
                  </a:graphic>
                </wp:inline>
              </w:drawing>
            </w:r>
            <w:r w:rsidRPr="00F00DFE">
              <w:rPr>
                <w:b/>
                <w:bCs/>
              </w:rPr>
              <w:t> Материалы встречных проверок налоговики вправе не показывать</w:t>
            </w:r>
          </w:p>
        </w:tc>
      </w:tr>
      <w:tr w:rsidR="000735E2" w:rsidRPr="00F00DFE" w14:paraId="3A69AE55" w14:textId="77777777" w:rsidTr="00102727">
        <w:tc>
          <w:tcPr>
            <w:tcW w:w="0" w:type="auto"/>
            <w:tcMar>
              <w:top w:w="105" w:type="dxa"/>
              <w:left w:w="0" w:type="dxa"/>
              <w:bottom w:w="105" w:type="dxa"/>
              <w:right w:w="525" w:type="dxa"/>
            </w:tcMar>
            <w:hideMark/>
          </w:tcPr>
          <w:p w14:paraId="35FCDE8E" w14:textId="77777777" w:rsidR="000735E2" w:rsidRPr="00F00DFE" w:rsidRDefault="000735E2" w:rsidP="00102727">
            <w:r w:rsidRPr="00F00DFE">
              <w:t>Инспекторы проверили компанию и усомнились в реальности некоторых контрагентов и сделок. После компания возмутилась, что к акту не приложили результаты встречных проверок и допросов свидетелей. Организация обратилась в суд, чтобы заявить о нарушениях. Утверждала, что контролеры необоснованно отказали ей в вычетах НДС и доначислили налог на прибыль</w:t>
            </w:r>
          </w:p>
        </w:tc>
        <w:tc>
          <w:tcPr>
            <w:tcW w:w="0" w:type="auto"/>
            <w:tcMar>
              <w:top w:w="105" w:type="dxa"/>
              <w:left w:w="0" w:type="dxa"/>
              <w:bottom w:w="105" w:type="dxa"/>
              <w:right w:w="525" w:type="dxa"/>
            </w:tcMar>
            <w:hideMark/>
          </w:tcPr>
          <w:p w14:paraId="40F2B72A" w14:textId="77777777" w:rsidR="000735E2" w:rsidRPr="00F00DFE" w:rsidRDefault="000735E2" w:rsidP="00102727">
            <w:r w:rsidRPr="00F00DFE">
              <w:t>Доначисления законны. Результаты встречек и допросов не относятся к доказательствам нарушения. То, что инспекторы не приложили их к акту, не считается грубым нарушением. В целом компания получила доступ к материалам и имела возможность дать пояснения (</w:t>
            </w:r>
            <w:hyperlink r:id="rId11" w:tgtFrame="_blank" w:history="1">
              <w:r w:rsidRPr="00F00DFE">
                <w:rPr>
                  <w:rStyle w:val="ac"/>
                </w:rPr>
                <w:t>постановление АС Волго-Вятского округа от 24.04.2025 по делу № А39-5477/2023</w:t>
              </w:r>
            </w:hyperlink>
            <w:r w:rsidRPr="00F00DFE">
              <w:t>)</w:t>
            </w:r>
          </w:p>
        </w:tc>
      </w:tr>
    </w:tbl>
    <w:p w14:paraId="0351D830" w14:textId="77777777" w:rsidR="000735E2" w:rsidRPr="00D03CBE" w:rsidRDefault="000735E2" w:rsidP="000735E2">
      <w:pPr>
        <w:rPr>
          <w:lang w:val="en-US"/>
        </w:rPr>
      </w:pPr>
    </w:p>
    <w:p w14:paraId="75DF4CBA" w14:textId="77777777" w:rsidR="000735E2" w:rsidRPr="00D03CBE" w:rsidRDefault="000735E2" w:rsidP="000735E2">
      <w:pPr>
        <w:jc w:val="right"/>
      </w:pPr>
      <w:r>
        <w:t>Журнал «Главбух» №23, 2025</w:t>
      </w:r>
    </w:p>
    <w:p w14:paraId="61BE983E" w14:textId="57E6D46D" w:rsidR="00173540" w:rsidRPr="000735E2" w:rsidRDefault="00173540" w:rsidP="000735E2"/>
    <w:sectPr w:rsidR="00173540" w:rsidRPr="000735E2" w:rsidSect="00CD5338">
      <w:pgSz w:w="11906" w:h="16838"/>
      <w:pgMar w:top="851"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40"/>
    <w:rsid w:val="000735E2"/>
    <w:rsid w:val="00087B70"/>
    <w:rsid w:val="001063E0"/>
    <w:rsid w:val="00173540"/>
    <w:rsid w:val="001A4AC3"/>
    <w:rsid w:val="004173D8"/>
    <w:rsid w:val="005F22A4"/>
    <w:rsid w:val="00686C03"/>
    <w:rsid w:val="0073202A"/>
    <w:rsid w:val="00763B2E"/>
    <w:rsid w:val="007D19F8"/>
    <w:rsid w:val="008341C0"/>
    <w:rsid w:val="00A43B77"/>
    <w:rsid w:val="00A95C79"/>
    <w:rsid w:val="00AE3A72"/>
    <w:rsid w:val="00BD5436"/>
    <w:rsid w:val="00BF3DB2"/>
    <w:rsid w:val="00CD5338"/>
    <w:rsid w:val="00DD6A5F"/>
    <w:rsid w:val="00DF1FA1"/>
    <w:rsid w:val="00EA1B07"/>
    <w:rsid w:val="00EF3844"/>
    <w:rsid w:val="00F92283"/>
    <w:rsid w:val="00FA5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F721"/>
  <w15:chartTrackingRefBased/>
  <w15:docId w15:val="{6FA3FDC6-99C2-4F73-8321-5431E159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540"/>
    <w:rPr>
      <w:rFonts w:ascii="Calibri" w:eastAsia="Calibri" w:hAnsi="Calibri" w:cs="Times New Roman"/>
      <w14:ligatures w14:val="none"/>
    </w:rPr>
  </w:style>
  <w:style w:type="paragraph" w:styleId="1">
    <w:name w:val="heading 1"/>
    <w:basedOn w:val="a"/>
    <w:next w:val="a"/>
    <w:link w:val="10"/>
    <w:uiPriority w:val="9"/>
    <w:qFormat/>
    <w:rsid w:val="00173540"/>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0"/>
    <w:uiPriority w:val="9"/>
    <w:semiHidden/>
    <w:unhideWhenUsed/>
    <w:qFormat/>
    <w:rsid w:val="00173540"/>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0"/>
    <w:uiPriority w:val="9"/>
    <w:semiHidden/>
    <w:unhideWhenUsed/>
    <w:qFormat/>
    <w:rsid w:val="00173540"/>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0"/>
    <w:uiPriority w:val="9"/>
    <w:semiHidden/>
    <w:unhideWhenUsed/>
    <w:qFormat/>
    <w:rsid w:val="00173540"/>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5">
    <w:name w:val="heading 5"/>
    <w:basedOn w:val="a"/>
    <w:next w:val="a"/>
    <w:link w:val="50"/>
    <w:uiPriority w:val="9"/>
    <w:semiHidden/>
    <w:unhideWhenUsed/>
    <w:qFormat/>
    <w:rsid w:val="00173540"/>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rsid w:val="00173540"/>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7">
    <w:name w:val="heading 7"/>
    <w:basedOn w:val="a"/>
    <w:next w:val="a"/>
    <w:link w:val="70"/>
    <w:uiPriority w:val="9"/>
    <w:semiHidden/>
    <w:unhideWhenUsed/>
    <w:qFormat/>
    <w:rsid w:val="00173540"/>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173540"/>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173540"/>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5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35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35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35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35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35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3540"/>
    <w:rPr>
      <w:rFonts w:eastAsiaTheme="majorEastAsia" w:cstheme="majorBidi"/>
      <w:color w:val="595959" w:themeColor="text1" w:themeTint="A6"/>
    </w:rPr>
  </w:style>
  <w:style w:type="character" w:customStyle="1" w:styleId="80">
    <w:name w:val="Заголовок 8 Знак"/>
    <w:basedOn w:val="a0"/>
    <w:link w:val="8"/>
    <w:uiPriority w:val="9"/>
    <w:semiHidden/>
    <w:rsid w:val="001735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3540"/>
    <w:rPr>
      <w:rFonts w:eastAsiaTheme="majorEastAsia" w:cstheme="majorBidi"/>
      <w:color w:val="272727" w:themeColor="text1" w:themeTint="D8"/>
    </w:rPr>
  </w:style>
  <w:style w:type="paragraph" w:styleId="a3">
    <w:name w:val="Title"/>
    <w:basedOn w:val="a"/>
    <w:next w:val="a"/>
    <w:link w:val="a4"/>
    <w:uiPriority w:val="10"/>
    <w:qFormat/>
    <w:rsid w:val="001735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173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540"/>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6">
    <w:name w:val="Подзаголовок Знак"/>
    <w:basedOn w:val="a0"/>
    <w:link w:val="a5"/>
    <w:uiPriority w:val="11"/>
    <w:rsid w:val="001735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3540"/>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22">
    <w:name w:val="Цитата 2 Знак"/>
    <w:basedOn w:val="a0"/>
    <w:link w:val="21"/>
    <w:uiPriority w:val="29"/>
    <w:rsid w:val="00173540"/>
    <w:rPr>
      <w:i/>
      <w:iCs/>
      <w:color w:val="404040" w:themeColor="text1" w:themeTint="BF"/>
    </w:rPr>
  </w:style>
  <w:style w:type="paragraph" w:styleId="a7">
    <w:name w:val="List Paragraph"/>
    <w:basedOn w:val="a"/>
    <w:uiPriority w:val="34"/>
    <w:qFormat/>
    <w:rsid w:val="00173540"/>
    <w:pPr>
      <w:ind w:left="720"/>
      <w:contextualSpacing/>
    </w:pPr>
    <w:rPr>
      <w:rFonts w:asciiTheme="minorHAnsi" w:eastAsiaTheme="minorHAnsi" w:hAnsiTheme="minorHAnsi" w:cstheme="minorBidi"/>
      <w14:ligatures w14:val="standardContextual"/>
    </w:rPr>
  </w:style>
  <w:style w:type="character" w:styleId="a8">
    <w:name w:val="Intense Emphasis"/>
    <w:basedOn w:val="a0"/>
    <w:uiPriority w:val="21"/>
    <w:qFormat/>
    <w:rsid w:val="00173540"/>
    <w:rPr>
      <w:i/>
      <w:iCs/>
      <w:color w:val="2F5496" w:themeColor="accent1" w:themeShade="BF"/>
    </w:rPr>
  </w:style>
  <w:style w:type="paragraph" w:styleId="a9">
    <w:name w:val="Intense Quote"/>
    <w:basedOn w:val="a"/>
    <w:next w:val="a"/>
    <w:link w:val="aa"/>
    <w:uiPriority w:val="30"/>
    <w:qFormat/>
    <w:rsid w:val="0017354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aa">
    <w:name w:val="Выделенная цитата Знак"/>
    <w:basedOn w:val="a0"/>
    <w:link w:val="a9"/>
    <w:uiPriority w:val="30"/>
    <w:rsid w:val="00173540"/>
    <w:rPr>
      <w:i/>
      <w:iCs/>
      <w:color w:val="2F5496" w:themeColor="accent1" w:themeShade="BF"/>
    </w:rPr>
  </w:style>
  <w:style w:type="character" w:styleId="ab">
    <w:name w:val="Intense Reference"/>
    <w:basedOn w:val="a0"/>
    <w:uiPriority w:val="32"/>
    <w:qFormat/>
    <w:rsid w:val="00173540"/>
    <w:rPr>
      <w:b/>
      <w:bCs/>
      <w:smallCaps/>
      <w:color w:val="2F5496" w:themeColor="accent1" w:themeShade="BF"/>
      <w:spacing w:val="5"/>
    </w:rPr>
  </w:style>
  <w:style w:type="character" w:styleId="ac">
    <w:name w:val="Hyperlink"/>
    <w:uiPriority w:val="99"/>
    <w:unhideWhenUsed/>
    <w:rsid w:val="00173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lavbukh.ru/npd-doc?npmid=98&amp;npid=10036398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lavbukh.ru/npd-doc?npmid=99&amp;npid=456076691" TargetMode="External"/><Relationship Id="rId11" Type="http://schemas.openxmlformats.org/officeDocument/2006/relationships/hyperlink" Target="https://e.glavbukh.ru/npd-doc?npmid=98&amp;npid=100451015" TargetMode="External"/><Relationship Id="rId5" Type="http://schemas.openxmlformats.org/officeDocument/2006/relationships/hyperlink" Target="https://e.glavbukh.ru/npd-doc?npmid=99&amp;npid=901714421&amp;anchor=ZA022I23HG" TargetMode="External"/><Relationship Id="rId10" Type="http://schemas.openxmlformats.org/officeDocument/2006/relationships/hyperlink" Target="https://e.glavbukh.ru/npd-doc?npmid=98&amp;npid=101513740" TargetMode="External"/><Relationship Id="rId4" Type="http://schemas.openxmlformats.org/officeDocument/2006/relationships/hyperlink" Target="https://e.glavbukh.ru/npd-doc?npmid=99&amp;npid=901714421&amp;anchor=ZA00M8U2NH" TargetMode="External"/><Relationship Id="rId9" Type="http://schemas.openxmlformats.org/officeDocument/2006/relationships/hyperlink" Target="https://e.glavbukh.ru/npd-doc?npmid=98&amp;npid=100426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5747</Characters>
  <Application>Microsoft Office Word</Application>
  <DocSecurity>0</DocSecurity>
  <Lines>47</Lines>
  <Paragraphs>13</Paragraphs>
  <ScaleCrop>false</ScaleCrop>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Хомякова</dc:creator>
  <cp:keywords/>
  <dc:description/>
  <cp:lastModifiedBy>Екатерина Хомякова</cp:lastModifiedBy>
  <cp:revision>2</cp:revision>
  <dcterms:created xsi:type="dcterms:W3CDTF">2025-12-16T07:41:00Z</dcterms:created>
  <dcterms:modified xsi:type="dcterms:W3CDTF">2025-12-16T07:41:00Z</dcterms:modified>
</cp:coreProperties>
</file>